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AB" w:rsidRPr="00E602AB" w:rsidRDefault="00E602AB" w:rsidP="00E6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E602AB" w:rsidRPr="00E602AB" w:rsidRDefault="00E602AB" w:rsidP="00E602AB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E602AB" w:rsidRPr="00AE2FF9" w:rsidRDefault="001F7D8E" w:rsidP="00EE4748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11.02.2016</w:t>
      </w:r>
      <w:r w:rsidR="00E602AB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E21D1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748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21D1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02AB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261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02AB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602AB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</w:t>
      </w:r>
      <w:r w:rsidR="005A7261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02AB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02AB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602AB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21D1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AB" w:rsidRPr="00AE2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70-па</w:t>
      </w:r>
    </w:p>
    <w:p w:rsid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748" w:rsidRPr="00E602AB" w:rsidRDefault="00EE4748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AB" w:rsidRPr="00EE4748" w:rsidRDefault="00E602AB" w:rsidP="00E60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3613A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ликвидации, локализации технологических нарушений</w:t>
      </w:r>
      <w:r w:rsidR="00E91581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взаимодействия тепл</w:t>
      </w:r>
      <w:proofErr w:type="gramStart"/>
      <w:r w:rsidR="00E91581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="00E91581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электро</w:t>
      </w:r>
      <w:r w:rsidR="00424562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91581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91581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водоснабжающих</w:t>
      </w:r>
      <w:proofErr w:type="spellEnd"/>
      <w:r w:rsidR="00E91581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организаций, абонентов (потребителей), ремонтных, строительных, транспортных предприятий, а также служб </w:t>
      </w:r>
      <w:r w:rsidR="00445537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ЖКХ </w:t>
      </w:r>
      <w:r w:rsidR="00E91581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других органов при устранении аварий и инцидентов на территории Михайловского </w:t>
      </w:r>
      <w:r w:rsidR="00D7002D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91581" w:rsidRPr="00EE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</w:p>
    <w:p w:rsidR="00B3613A" w:rsidRPr="00B3613A" w:rsidRDefault="00B3613A" w:rsidP="00E6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AB" w:rsidRPr="00E602AB" w:rsidRDefault="00E602AB" w:rsidP="00E602A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AB" w:rsidRDefault="00E602AB" w:rsidP="00E602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Жилищного кодекса Российской Федерации, Федеральн</w:t>
      </w:r>
      <w:r w:rsidR="00B3613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3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B36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 w:rsidR="00B36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B36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23.05.2006 № 307 </w:t>
      </w:r>
      <w:r w:rsidR="00B36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коммунальных услуг гражданам</w:t>
      </w:r>
      <w:r w:rsidR="00B36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 администрация Михайловского муниципального района</w:t>
      </w:r>
    </w:p>
    <w:p w:rsidR="00E91581" w:rsidRDefault="00E91581" w:rsidP="00E602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581" w:rsidRDefault="00E91581" w:rsidP="00E91581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91581" w:rsidRDefault="00E91581" w:rsidP="00E91581">
      <w:pPr>
        <w:widowControl w:val="0"/>
        <w:tabs>
          <w:tab w:val="left" w:pos="0"/>
          <w:tab w:val="left" w:pos="142"/>
          <w:tab w:val="left" w:pos="1560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625" w:rsidRPr="00E91581" w:rsidRDefault="00CC3B8B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Утвердить Порядок ликвидации, локализации технологических нарушений и взаимодействия тепл</w:t>
      </w:r>
      <w:proofErr w:type="gramStart"/>
      <w:r w:rsidRPr="00E915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91581">
        <w:rPr>
          <w:rFonts w:ascii="Times New Roman" w:hAnsi="Times New Roman" w:cs="Times New Roman"/>
          <w:sz w:val="28"/>
          <w:szCs w:val="28"/>
        </w:rPr>
        <w:t xml:space="preserve">, электро-, </w:t>
      </w:r>
      <w:proofErr w:type="spellStart"/>
      <w:r w:rsidRPr="00E91581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E91581">
        <w:rPr>
          <w:rFonts w:ascii="Times New Roman" w:hAnsi="Times New Roman" w:cs="Times New Roman"/>
          <w:sz w:val="28"/>
          <w:szCs w:val="28"/>
        </w:rPr>
        <w:t xml:space="preserve"> организаций, абонентов (потребителей), ремонтных, строительных, транспортных предприятий, а также служб </w:t>
      </w:r>
      <w:r w:rsidR="00424562">
        <w:rPr>
          <w:rFonts w:ascii="Times New Roman" w:hAnsi="Times New Roman" w:cs="Times New Roman"/>
          <w:sz w:val="28"/>
          <w:szCs w:val="28"/>
        </w:rPr>
        <w:t>ЖКХ</w:t>
      </w:r>
      <w:r w:rsidRPr="00E91581">
        <w:rPr>
          <w:rFonts w:ascii="Times New Roman" w:hAnsi="Times New Roman" w:cs="Times New Roman"/>
          <w:sz w:val="28"/>
          <w:szCs w:val="28"/>
        </w:rPr>
        <w:t xml:space="preserve"> и других органов при устранении аварий и инцидентов </w:t>
      </w:r>
      <w:r w:rsidR="004E6625" w:rsidRPr="00E91581">
        <w:rPr>
          <w:rFonts w:ascii="Times New Roman" w:hAnsi="Times New Roman" w:cs="Times New Roman"/>
          <w:sz w:val="28"/>
          <w:szCs w:val="28"/>
        </w:rPr>
        <w:t>(</w:t>
      </w:r>
      <w:r w:rsidRPr="00E91581">
        <w:rPr>
          <w:rFonts w:ascii="Times New Roman" w:hAnsi="Times New Roman" w:cs="Times New Roman"/>
          <w:sz w:val="28"/>
          <w:szCs w:val="28"/>
        </w:rPr>
        <w:t xml:space="preserve"> </w:t>
      </w:r>
      <w:r w:rsidR="004E6625" w:rsidRPr="00E915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27BD" w:rsidRPr="00E91581">
        <w:rPr>
          <w:rFonts w:ascii="Times New Roman" w:hAnsi="Times New Roman" w:cs="Times New Roman"/>
          <w:sz w:val="28"/>
          <w:szCs w:val="28"/>
        </w:rPr>
        <w:t>№</w:t>
      </w:r>
      <w:r w:rsidR="004E6625" w:rsidRPr="00E91581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386C15" w:rsidRDefault="004E6625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19DD" w:rsidRPr="00E91581">
        <w:rPr>
          <w:rFonts w:ascii="Times New Roman" w:hAnsi="Times New Roman" w:cs="Times New Roman"/>
          <w:sz w:val="28"/>
          <w:szCs w:val="28"/>
        </w:rPr>
        <w:t>Порядок действий органов исполнительной власти, организаций и служб при возникновении аварийных ситуаций на объектах ЖКХ</w:t>
      </w:r>
      <w:r w:rsidRPr="00E9158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527BD" w:rsidRPr="00E91581">
        <w:rPr>
          <w:rFonts w:ascii="Times New Roman" w:hAnsi="Times New Roman" w:cs="Times New Roman"/>
          <w:sz w:val="28"/>
          <w:szCs w:val="28"/>
        </w:rPr>
        <w:t>№</w:t>
      </w:r>
      <w:r w:rsidRPr="00E91581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0527BD" w:rsidRPr="00386C15" w:rsidRDefault="000527BD" w:rsidP="00B715AA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15">
        <w:rPr>
          <w:rFonts w:ascii="Times New Roman" w:hAnsi="Times New Roman" w:cs="Times New Roman"/>
          <w:sz w:val="28"/>
          <w:szCs w:val="28"/>
        </w:rPr>
        <w:t>Утвердить расчеты допустимого времени устранени</w:t>
      </w:r>
      <w:r w:rsidR="00D00347" w:rsidRPr="00386C15">
        <w:rPr>
          <w:rFonts w:ascii="Times New Roman" w:hAnsi="Times New Roman" w:cs="Times New Roman"/>
          <w:sz w:val="28"/>
          <w:szCs w:val="28"/>
        </w:rPr>
        <w:t>я</w:t>
      </w:r>
      <w:r w:rsidRPr="00386C15">
        <w:rPr>
          <w:rFonts w:ascii="Times New Roman" w:hAnsi="Times New Roman" w:cs="Times New Roman"/>
          <w:sz w:val="28"/>
          <w:szCs w:val="28"/>
        </w:rPr>
        <w:t xml:space="preserve"> аварийных нарушений (приложение № 3)</w:t>
      </w:r>
      <w:r w:rsidR="00887E5E">
        <w:rPr>
          <w:rFonts w:ascii="Times New Roman" w:hAnsi="Times New Roman" w:cs="Times New Roman"/>
          <w:sz w:val="28"/>
          <w:szCs w:val="28"/>
        </w:rPr>
        <w:t>.</w:t>
      </w:r>
    </w:p>
    <w:p w:rsidR="003B1A7C" w:rsidRDefault="003B1A7C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B1A7C" w:rsidSect="00EE4748">
          <w:headerReference w:type="default" r:id="rId10"/>
          <w:pgSz w:w="11906" w:h="16838"/>
          <w:pgMar w:top="284" w:right="851" w:bottom="1134" w:left="1418" w:header="709" w:footer="709" w:gutter="0"/>
          <w:pgNumType w:start="0"/>
          <w:cols w:space="708"/>
          <w:titlePg/>
          <w:docGrid w:linePitch="360"/>
        </w:sectPr>
      </w:pPr>
    </w:p>
    <w:p w:rsidR="00DE25A2" w:rsidRDefault="00E602AB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 w:rsidR="00B3613A">
        <w:rPr>
          <w:rFonts w:ascii="Times New Roman" w:hAnsi="Times New Roman" w:cs="Times New Roman"/>
          <w:sz w:val="28"/>
          <w:szCs w:val="28"/>
        </w:rPr>
        <w:t>а</w:t>
      </w:r>
      <w:r w:rsidRPr="00E91581">
        <w:rPr>
          <w:rFonts w:ascii="Times New Roman" w:hAnsi="Times New Roman" w:cs="Times New Roman"/>
          <w:sz w:val="28"/>
          <w:szCs w:val="28"/>
        </w:rPr>
        <w:t>дминистрации Михайловского муниципального района</w:t>
      </w:r>
      <w:r w:rsidR="00DE25A2">
        <w:rPr>
          <w:rFonts w:ascii="Times New Roman" w:hAnsi="Times New Roman" w:cs="Times New Roman"/>
          <w:sz w:val="28"/>
          <w:szCs w:val="28"/>
        </w:rPr>
        <w:t xml:space="preserve"> от 09 августа 2007</w:t>
      </w:r>
      <w:r w:rsidR="00B3613A">
        <w:rPr>
          <w:rFonts w:ascii="Times New Roman" w:hAnsi="Times New Roman" w:cs="Times New Roman"/>
          <w:sz w:val="28"/>
          <w:szCs w:val="28"/>
        </w:rPr>
        <w:t xml:space="preserve"> </w:t>
      </w:r>
      <w:r w:rsidR="00DE25A2">
        <w:rPr>
          <w:rFonts w:ascii="Times New Roman" w:hAnsi="Times New Roman" w:cs="Times New Roman"/>
          <w:sz w:val="28"/>
          <w:szCs w:val="28"/>
        </w:rPr>
        <w:t>г.</w:t>
      </w:r>
      <w:r w:rsidRPr="00E91581">
        <w:rPr>
          <w:rFonts w:ascii="Times New Roman" w:hAnsi="Times New Roman" w:cs="Times New Roman"/>
          <w:sz w:val="28"/>
          <w:szCs w:val="28"/>
        </w:rPr>
        <w:t xml:space="preserve"> </w:t>
      </w:r>
      <w:r w:rsidR="00DE25A2">
        <w:rPr>
          <w:rFonts w:ascii="Times New Roman" w:hAnsi="Times New Roman" w:cs="Times New Roman"/>
          <w:sz w:val="28"/>
          <w:szCs w:val="28"/>
        </w:rPr>
        <w:t>№ 491-пг «О порядке ликвидации, локализации технологических нарушений и взаимодействия тепл</w:t>
      </w:r>
      <w:proofErr w:type="gramStart"/>
      <w:r w:rsidR="00DE25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E25A2">
        <w:rPr>
          <w:rFonts w:ascii="Times New Roman" w:hAnsi="Times New Roman" w:cs="Times New Roman"/>
          <w:sz w:val="28"/>
          <w:szCs w:val="28"/>
        </w:rPr>
        <w:t xml:space="preserve">, электро-, </w:t>
      </w:r>
      <w:proofErr w:type="spellStart"/>
      <w:r w:rsidR="00DE25A2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DE25A2">
        <w:rPr>
          <w:rFonts w:ascii="Times New Roman" w:hAnsi="Times New Roman" w:cs="Times New Roman"/>
          <w:sz w:val="28"/>
          <w:szCs w:val="28"/>
        </w:rPr>
        <w:t xml:space="preserve"> организаций, органов местного самоуправления </w:t>
      </w:r>
      <w:r w:rsidR="00B3613A">
        <w:rPr>
          <w:rFonts w:ascii="Times New Roman" w:hAnsi="Times New Roman" w:cs="Times New Roman"/>
          <w:sz w:val="28"/>
          <w:szCs w:val="28"/>
        </w:rPr>
        <w:t>М</w:t>
      </w:r>
      <w:r w:rsidR="00DE25A2">
        <w:rPr>
          <w:rFonts w:ascii="Times New Roman" w:hAnsi="Times New Roman" w:cs="Times New Roman"/>
          <w:sz w:val="28"/>
          <w:szCs w:val="28"/>
        </w:rPr>
        <w:t>ихайловского муниципального района при устранении аварий и инцидентов на объектах ТЭК в ЖКХ района» считать утратившим силу.</w:t>
      </w:r>
    </w:p>
    <w:p w:rsidR="00E602AB" w:rsidRDefault="00DE25A2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5A2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DE25A2" w:rsidRPr="00E91581" w:rsidRDefault="00445537" w:rsidP="00445537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709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5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4E6625" w:rsidRPr="00E91581" w:rsidRDefault="004E6625" w:rsidP="00DE25A2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1581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B3613A">
        <w:rPr>
          <w:rFonts w:ascii="Times New Roman" w:hAnsi="Times New Roman" w:cs="Times New Roman"/>
          <w:sz w:val="28"/>
          <w:szCs w:val="28"/>
        </w:rPr>
        <w:t>нием данного постановления возложить</w:t>
      </w:r>
      <w:r w:rsidRPr="00E91581">
        <w:rPr>
          <w:rFonts w:ascii="Times New Roman" w:hAnsi="Times New Roman" w:cs="Times New Roman"/>
          <w:sz w:val="28"/>
          <w:szCs w:val="28"/>
        </w:rPr>
        <w:t xml:space="preserve"> на зам</w:t>
      </w:r>
      <w:r w:rsidR="00CC3B8B" w:rsidRPr="00E91581">
        <w:rPr>
          <w:rFonts w:ascii="Times New Roman" w:hAnsi="Times New Roman" w:cs="Times New Roman"/>
          <w:sz w:val="28"/>
          <w:szCs w:val="28"/>
        </w:rPr>
        <w:t>естителя</w:t>
      </w:r>
      <w:r w:rsidRPr="00E9158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C3B8B" w:rsidRPr="00E91581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</w:t>
      </w:r>
      <w:r w:rsidRPr="00E915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C3B8B" w:rsidRPr="00E91581">
        <w:rPr>
          <w:rFonts w:ascii="Times New Roman" w:hAnsi="Times New Roman" w:cs="Times New Roman"/>
          <w:sz w:val="28"/>
          <w:szCs w:val="28"/>
        </w:rPr>
        <w:t>В.Г. Смирнову</w:t>
      </w:r>
      <w:r w:rsidR="003B1A7C">
        <w:rPr>
          <w:rFonts w:ascii="Times New Roman" w:hAnsi="Times New Roman" w:cs="Times New Roman"/>
          <w:sz w:val="28"/>
          <w:szCs w:val="28"/>
        </w:rPr>
        <w:t>.</w:t>
      </w:r>
    </w:p>
    <w:p w:rsidR="004E6625" w:rsidRDefault="004E6625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Pr="00E91581" w:rsidRDefault="00424562" w:rsidP="00DE25A2">
      <w:pPr>
        <w:pStyle w:val="ConsPlusNormal"/>
        <w:tabs>
          <w:tab w:val="left" w:pos="0"/>
          <w:tab w:val="left" w:pos="142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13A" w:rsidRDefault="00CC3B8B" w:rsidP="00B3613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>Глава Михайлов</w:t>
      </w:r>
      <w:r w:rsidR="003B1A7C">
        <w:rPr>
          <w:rFonts w:ascii="Times New Roman" w:hAnsi="Times New Roman" w:cs="Times New Roman"/>
          <w:b/>
          <w:sz w:val="28"/>
          <w:szCs w:val="28"/>
        </w:rPr>
        <w:t>с</w:t>
      </w:r>
      <w:r w:rsidRPr="00424562">
        <w:rPr>
          <w:rFonts w:ascii="Times New Roman" w:hAnsi="Times New Roman" w:cs="Times New Roman"/>
          <w:b/>
          <w:sz w:val="28"/>
          <w:szCs w:val="28"/>
        </w:rPr>
        <w:t>кого</w:t>
      </w:r>
      <w:r w:rsidR="004E6625" w:rsidRPr="0042456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42456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625" w:rsidRPr="00424562" w:rsidRDefault="00CC3B8B" w:rsidP="003B1A7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562">
        <w:rPr>
          <w:rFonts w:ascii="Times New Roman" w:hAnsi="Times New Roman" w:cs="Times New Roman"/>
          <w:b/>
          <w:sz w:val="28"/>
          <w:szCs w:val="28"/>
        </w:rPr>
        <w:t>глава администрации район</w:t>
      </w:r>
      <w:r w:rsidR="009B7421">
        <w:rPr>
          <w:rFonts w:ascii="Times New Roman" w:hAnsi="Times New Roman" w:cs="Times New Roman"/>
          <w:b/>
          <w:sz w:val="28"/>
          <w:szCs w:val="28"/>
        </w:rPr>
        <w:t>а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1A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3613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1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1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5537" w:rsidRPr="004245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4562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347" w:rsidRDefault="00D0034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347" w:rsidRDefault="00D0034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Default="00386C15" w:rsidP="00386C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625" w:rsidRPr="00E91581" w:rsidRDefault="004E6625" w:rsidP="003B1A7C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527BD" w:rsidRPr="00E91581">
        <w:rPr>
          <w:rFonts w:ascii="Times New Roman" w:hAnsi="Times New Roman" w:cs="Times New Roman"/>
          <w:sz w:val="28"/>
          <w:szCs w:val="28"/>
        </w:rPr>
        <w:t>№</w:t>
      </w:r>
      <w:r w:rsidRPr="00E9158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E6625" w:rsidRPr="00E91581" w:rsidRDefault="00236B71" w:rsidP="003B1A7C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E6625" w:rsidRPr="00E91581" w:rsidRDefault="003B1A7C" w:rsidP="003B1A7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625" w:rsidRPr="00E91581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25" w:rsidRPr="00E91581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25" w:rsidRPr="00E9158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E6625" w:rsidRPr="001F7D8E" w:rsidRDefault="004E6625" w:rsidP="003B1A7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1581">
        <w:rPr>
          <w:rFonts w:ascii="Times New Roman" w:hAnsi="Times New Roman" w:cs="Times New Roman"/>
          <w:sz w:val="28"/>
          <w:szCs w:val="28"/>
        </w:rPr>
        <w:t xml:space="preserve">от </w:t>
      </w:r>
      <w:r w:rsidR="001F7D8E">
        <w:rPr>
          <w:rFonts w:ascii="Times New Roman" w:hAnsi="Times New Roman" w:cs="Times New Roman"/>
          <w:sz w:val="28"/>
          <w:szCs w:val="28"/>
          <w:u w:val="single"/>
        </w:rPr>
        <w:t>11.02.2016</w:t>
      </w:r>
      <w:r w:rsidR="00CC3B8B" w:rsidRPr="00E91581">
        <w:rPr>
          <w:rFonts w:ascii="Times New Roman" w:hAnsi="Times New Roman" w:cs="Times New Roman"/>
          <w:sz w:val="28"/>
          <w:szCs w:val="28"/>
        </w:rPr>
        <w:t xml:space="preserve"> </w:t>
      </w:r>
      <w:r w:rsidR="000527BD" w:rsidRPr="00E91581">
        <w:rPr>
          <w:rFonts w:ascii="Times New Roman" w:hAnsi="Times New Roman" w:cs="Times New Roman"/>
          <w:sz w:val="28"/>
          <w:szCs w:val="28"/>
        </w:rPr>
        <w:t>№</w:t>
      </w:r>
      <w:r w:rsidR="003B1A7C">
        <w:rPr>
          <w:rFonts w:ascii="Times New Roman" w:hAnsi="Times New Roman" w:cs="Times New Roman"/>
          <w:sz w:val="28"/>
          <w:szCs w:val="28"/>
        </w:rPr>
        <w:t xml:space="preserve"> </w:t>
      </w:r>
      <w:r w:rsidR="001F7D8E">
        <w:rPr>
          <w:rFonts w:ascii="Times New Roman" w:hAnsi="Times New Roman" w:cs="Times New Roman"/>
          <w:sz w:val="28"/>
          <w:szCs w:val="28"/>
          <w:u w:val="single"/>
        </w:rPr>
        <w:t>70-па</w:t>
      </w:r>
    </w:p>
    <w:p w:rsidR="004E6625" w:rsidRPr="00E91581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A81" w:rsidRPr="00E91581" w:rsidRDefault="00381A81" w:rsidP="004E2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A81" w:rsidRPr="00E91581" w:rsidRDefault="00381A81" w:rsidP="004E2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3B1A7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E91581">
        <w:rPr>
          <w:rFonts w:ascii="Times New Roman" w:hAnsi="Times New Roman" w:cs="Times New Roman"/>
          <w:sz w:val="28"/>
          <w:szCs w:val="28"/>
        </w:rPr>
        <w:t>ПОРЯДОК</w:t>
      </w:r>
    </w:p>
    <w:p w:rsidR="004E6625" w:rsidRPr="00E91581" w:rsidRDefault="004E6625" w:rsidP="004E21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ЛИКВИДАЦИИ, ЛОКАЛИЗАЦИИ ТЕХНОЛОГИЧЕСКИХ</w:t>
      </w:r>
    </w:p>
    <w:p w:rsidR="004E6625" w:rsidRPr="00E91581" w:rsidRDefault="004E6625" w:rsidP="004E21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НАРУШЕНИЙ И ВЗАИМОДЕЙСТВИЯ ТЕПЛО-, ЭЛЕКТРО-,</w:t>
      </w:r>
    </w:p>
    <w:p w:rsidR="004E6625" w:rsidRPr="00E91581" w:rsidRDefault="004E6625" w:rsidP="004E21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 xml:space="preserve">ВОДОСНАБЖАЮЩИХ </w:t>
      </w:r>
      <w:r w:rsidR="00445537">
        <w:rPr>
          <w:rFonts w:ascii="Times New Roman" w:hAnsi="Times New Roman" w:cs="Times New Roman"/>
          <w:sz w:val="28"/>
          <w:szCs w:val="28"/>
        </w:rPr>
        <w:t>ОРГАНИЗАЦИЙ</w:t>
      </w:r>
      <w:r w:rsidRPr="00E91581">
        <w:rPr>
          <w:rFonts w:ascii="Times New Roman" w:hAnsi="Times New Roman" w:cs="Times New Roman"/>
          <w:sz w:val="28"/>
          <w:szCs w:val="28"/>
        </w:rPr>
        <w:t xml:space="preserve">, </w:t>
      </w:r>
      <w:r w:rsidR="00445537">
        <w:rPr>
          <w:rFonts w:ascii="Times New Roman" w:hAnsi="Times New Roman" w:cs="Times New Roman"/>
          <w:sz w:val="28"/>
          <w:szCs w:val="28"/>
        </w:rPr>
        <w:t xml:space="preserve">АБОНЕНТОВ (ПОТРЕБИТЕЛЕЙ), РЕМОНТНЫХ, СТРОИТЕЛЬНЫХ, ТРАНСПОРТНЫХ ПРЕДПРИЯТИЙ, А ТАКЖЕ СЛУЖБ ЖКХ И ДРУГИХ </w:t>
      </w:r>
      <w:r w:rsidRPr="00E9158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45537">
        <w:rPr>
          <w:rFonts w:ascii="Times New Roman" w:hAnsi="Times New Roman" w:cs="Times New Roman"/>
          <w:sz w:val="28"/>
          <w:szCs w:val="28"/>
        </w:rPr>
        <w:t xml:space="preserve">ПРИ УСТРАНЕНИИ АВАРИЙ И ИНЦИДЕНТОВ </w:t>
      </w:r>
    </w:p>
    <w:p w:rsidR="004E6625" w:rsidRPr="00E91581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4E21D1">
      <w:pPr>
        <w:pStyle w:val="ConsPlusNormal"/>
        <w:numPr>
          <w:ilvl w:val="0"/>
          <w:numId w:val="12"/>
        </w:numPr>
        <w:tabs>
          <w:tab w:val="left" w:pos="3686"/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625" w:rsidRPr="00445537" w:rsidRDefault="00D00347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Порядок разработан в соответствии с действующим законодательством, нормами и правилами в области предоставления коммунальных услуг потребителям, на основании: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hyperlink r:id="rId11" w:history="1">
        <w:r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29.12.2004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188-ФЗ,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12" w:history="1">
        <w:r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F004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004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E6625" w:rsidRPr="00445537" w:rsidRDefault="00944D5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4E6625"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23 мая 2006 года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307 </w:t>
      </w:r>
      <w:r w:rsidR="00F004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предоставления коммунальных услуг гражданам</w:t>
      </w:r>
      <w:r w:rsidR="00F004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E6625" w:rsidRPr="00445537" w:rsidRDefault="00F00470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4" w:history="1">
        <w:r w:rsidR="004E6625"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технической эксплуатации тепловых энергоустановок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приказом Минэнерго РФ от 24.03.2003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115,</w:t>
      </w:r>
    </w:p>
    <w:p w:rsidR="004E6625" w:rsidRPr="00445537" w:rsidRDefault="00F00470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5" w:history="1">
        <w:r w:rsidR="004E6625"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системами коммунального водоснабжения и канализации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Постановлением правительства РФ от 12.02.1999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167,</w:t>
      </w:r>
    </w:p>
    <w:p w:rsidR="004E6625" w:rsidRPr="00445537" w:rsidRDefault="00F00470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6" w:history="1">
        <w:r w:rsidR="004E6625"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технической эксплуатации электроустановок потребителями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утвержденными приказом Минэнерго РФ от 13.01.2003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6,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МДС 13-17.2000 </w:t>
      </w:r>
      <w:r w:rsidR="00F004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 рекомендаций по ликвидации нарушений в содержании и использовании жилищного фонда и придомовых территорий</w:t>
      </w:r>
      <w:r w:rsidR="00F004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утвержденных приказом департамента ЖКХ Минстроя РФ от 29.03.1995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</w:t>
      </w:r>
    </w:p>
    <w:p w:rsidR="004E6625" w:rsidRPr="00445537" w:rsidRDefault="00944D5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4E6625" w:rsidRPr="00445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</w:t>
      </w:r>
      <w:r w:rsidR="00700CD7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00CD7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700CD7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7B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CD7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442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00CD7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 функционировании розничных рынков электрической энергии, полном и (или) частичном ограничении режим</w:t>
      </w:r>
      <w:r w:rsidR="009449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0CD7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электрической энергии</w:t>
      </w:r>
      <w:r w:rsidR="00F004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E6625" w:rsidRPr="00445537" w:rsidRDefault="00700CD7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Минстроя РФ от 06.12.1994г. №17-48</w:t>
      </w:r>
      <w:r w:rsidR="00563C18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расследования причин аварий зданий и сооружений на территории Российской Федерации»</w:t>
      </w:r>
    </w:p>
    <w:p w:rsidR="004E6625" w:rsidRPr="00445537" w:rsidRDefault="00D00347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Действие Порядка распространяется на отношения организаций (учреждений, органов местного самоуправления, предприятий, юридических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лиц), участвующих в процессе обеспечения и предоставлении коммунальных услуг потребителям Михайловского муниципального района.</w:t>
      </w:r>
    </w:p>
    <w:p w:rsidR="004E6625" w:rsidRPr="00445537" w:rsidRDefault="00D00347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Порядке используются следующие понятия и определения:</w:t>
      </w:r>
    </w:p>
    <w:p w:rsidR="004E6625" w:rsidRPr="00445537" w:rsidRDefault="00F00470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гражданин и учреждение социально-культурного назначения, использующие коммунальные услуги для личных и иных нужд, не связанных с осуществлением предпринимательской деятельности;</w:t>
      </w:r>
    </w:p>
    <w:p w:rsidR="004E6625" w:rsidRPr="00445537" w:rsidRDefault="00F00470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4E6625" w:rsidRPr="00F00470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ресурсоснабжающая</w:t>
      </w:r>
      <w:proofErr w:type="spellEnd"/>
      <w:r w:rsidR="004E6625" w:rsidRPr="00F00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юридическое лицо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:rsidR="004E6625" w:rsidRPr="00445537" w:rsidRDefault="00F00470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коммунальные ресурсы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холодная вода, горячая вода, электрическая энергия, газ, бытовой газ в баллонах, тепловая энергия, твердое топливо, используемые для предоставления коммунальных услуг;</w:t>
      </w:r>
    </w:p>
    <w:p w:rsidR="004E6625" w:rsidRPr="00445537" w:rsidRDefault="00F00470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деятельность исполнителя коммунальных услуг по 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и жизнедеятельности потребителей;</w:t>
      </w:r>
    </w:p>
    <w:p w:rsidR="004E6625" w:rsidRPr="00445537" w:rsidRDefault="00F00470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жизнеобеспечения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юридическое лицо независимо от организационно-правовой формы, а также индивидуальный предприниматель, осуществляющие деятельность по обслуживанию систем и предоставлению коммунальных услуг по холодному водоснабжению, горячему водоснабжению, водоотведению, электроснабжению, газоснабжению и отоплению, для обеспечения комфортных условия проживания и жизнедеятельности потребителей.</w:t>
      </w:r>
    </w:p>
    <w:p w:rsidR="004E6625" w:rsidRPr="00445537" w:rsidRDefault="00F00470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819D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отдел администрации Михайловского муниципального района, осуществляющий повседневный мониторинг оперативной информации по ситуации жизнеобеспечения района по данным дежурных и диспетчерских (дежурно-диспетчерских) служб предприятий, поселений;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Авариями в тепловых сетях считаются: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работоспособности которых продолжается более 36 часов;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повреждение трубопроводов тепловой сети, оборудования насосных станций, тепловых пунктов, вызвавшее перерыв теплоснабжения потребителей I категории (по отоплению) на срок более 8 часов, прекращение теплоснабжения или общее снижение более чем на 50% отпуска тепловой энергии потребителям продолжительностью выше 16 часов.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Технологическими отказами в тепловых сетях считаются: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неисправности трубопроводов тепловой сети, оборудования насосных станций, тепловых пунктов (котельных), поиск утечек, вызвавшие перерыв в подаче тепла потребителям I категории (по отоплению) свыше 4 до 8 часов, прекращение теплоснабжения (отопления) объектов соцкультбыта на срок, превышающий условия п. 4.16.1 ГОСТ Р 51617-2000 "Жилищно-коммунальные услуги. Общие технические условия" (допустимая длительность температуры воздуха в помещении не ниже 12 Цельсия - не более 16 часов; не ниже 10 Цельсия - не более 8 часов; не ниже 8 С - не более 4 часов).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Функциональными отказами (инцидентами) в тепловых сетях считаются нарушения режима, не вызвавшие последствий, а также отключение горячего водоснабжения, осуществляемое для сохранения режима отпуска тепла на отопление при ограничениях в подаче топлива, электро- и водоснабжении.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Инцидентами в тепловых сетях не являются повреждения трубопроводов и оборудования, выявленные во время испытаний, проводимых в неотопительный период. Не являются инцидентами потребительские отключения, к которым относятся отключения: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линии электропередачи, подстанции, находящиеся на балансе потребителя, если оно произошло не по вине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энергоснабжающей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линии электропередачи, подстанции, находящиеся на балансе предприятия электрических сетей, из-за повреждения оборудования, неправильных действий персонала потребителя или устройства защиты на установке потребителя;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теплопроводы и системы теплопотребления объектов, находящихся на балансе потребителя, если оно произошло не по вине персонала теплоснабжающей организации.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Авариями в электрических сетях считаются: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разрушение (повреждение) зданий, основного оборудования подстанций (силовые трансформаторы; оборудование распределительных устройств напряжением 10(6)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выше), восстановление работоспособности которых может быть произведено в срок более 7 суток после выхода из строя;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выше, которая была восстановлена после выхода ее из строя: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воздушная линия за период более 3 суток;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кабельная линия за период более 10 суток;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неисправности оборудования и линий электропередач, вызвавшие перерыв электроснабжения: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одного и более потребителей первой категории, превышающий время действия устройств АПВ или АВР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электроснабжающей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организации.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часов, если нарушение электроснабжения потребителей произошло по вине персонала предприятия электрических сетей;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одного и более потребителей второй категории продолжительностью 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более 10 часов, если нарушение электроснабжения произошло по вине персонала предприятия электрических сетей;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одного и более потребителей третьей категории продолжительностью более 24 часов, если нарушение электроснабжения произошло по вине персонала предприятия электрических сетей.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Технологическими отказами в электрических сетях считаются: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неисправности основного оборудования, восстановление работоспособности которого может быть произведено в течение не более 7 суток после выхода его из строя;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выше, которая была восстановлена после выхода ее из строя: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воздушная линия за период от 12 часов до 3 суток;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кабельная линия за период от 2 до 10 суток;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неисправности оборудования и линий электропередач, вызвавшие перерыв электроснабжения: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одного и более потребителей первой категории при несоответствии схемы их питания требованиям ПУЭ, продолжительностью от 3 до 10 часов, если нарушение электроснабжения потребителей произошло по вине персонала предприятия электрических сетей;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одного и более потребителей второй категории продолжительностью от 3 до 10 часов;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одного и более потребителей третьей категории продолжительностью более 10 до 24 часов.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Функциональными отказами в электрических сетях считаются нарушения режима работы, не вызвавшие последствий, а также: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выход из строя измерительных трансформаторов, разрядников, трансформаторов и др., не относящихся к основному оборудованию;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выход из строя устройств АПВ, АВР, релейной защиты, телемеханики.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Не относится к инцидентам в электрических сетях вывод из работы оборудования по оперативной заявке для устранения мелких дефектов и неисправностей (замена элементов опоры, подтяжка бандажей, чистка изоляции, устранение течи масла в трансформаторах, силовых и масляных выключателях, подтяжка болтовых соединений в РП, ТП, выправка опор, устранение других неисправностей, угрожающих нормальной эксплуатации электроустановок или электроснабжения потребителей и т.д.), выявленных при профилактическом осмотре и контроле.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Электроприемники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аварийной брони электроснабжения - дежурное и охранное освещение, охранная и пожарная сигнализации, насосы пожаротушения, связь, аварийная вентиляция, отопление в зимнее время.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1.4. Основными направлениями предупреждения технологических нарушений и аварий и поддержания постоянной готовности предприятия жизнеобеспечения к их ликвидации являются: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постоянная подготовка персонала к ликвидации возможных 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технологических нарушений путем своевременного проведения противоаварийных тренировок, повышения качества профессиональной подготовки;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необходимых аварийных запасов материалов к оборудованию;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персонала средствами связи, пожаротушения, автотранспортом и др. механизмами, необходимыми средствами защиты;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своевременное обеспечение рабочих мест схемами технологических трубопроводов, инструкциями по ликвидации технологических нарушений, программами переключений;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персонала в пунктах тренажерной подготовки с использованием тренажеров, максимально соответствующих реальным условиям производства, а также, при возможности, с использованием персональных компьютеров;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тестирование персонала при приеме на работу, а также в процессе трудовой деятельности по готовности к оперативной работе.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625" w:rsidRPr="00445537" w:rsidRDefault="004E6625" w:rsidP="004E21D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ликвидации аварий</w:t>
      </w:r>
    </w:p>
    <w:p w:rsidR="004E6625" w:rsidRPr="00445537" w:rsidRDefault="004E6625" w:rsidP="004E21D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и технологических нарушений на объектах жизнеобеспечения</w:t>
      </w:r>
    </w:p>
    <w:p w:rsidR="004E6625" w:rsidRPr="00445537" w:rsidRDefault="004E6625" w:rsidP="004E21D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Руководители предприятий, учреждений, организаций жизнеобеспечения, осуществляющие строительство, реконструкцию, расширение, капитальный ремонт или эксплуатацию здания или сооружения, на котором произошла авария, должны немедленно передать донесения в </w:t>
      </w:r>
      <w:r w:rsidR="00D00347" w:rsidRPr="00D00347">
        <w:rPr>
          <w:rFonts w:ascii="Times New Roman" w:hAnsi="Times New Roman" w:cs="Times New Roman"/>
          <w:color w:val="000000" w:themeColor="text1"/>
          <w:sz w:val="28"/>
          <w:szCs w:val="28"/>
        </w:rPr>
        <w:t>единую диспе</w:t>
      </w:r>
      <w:r w:rsidR="00D0034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00347" w:rsidRPr="00D00347">
        <w:rPr>
          <w:rFonts w:ascii="Times New Roman" w:hAnsi="Times New Roman" w:cs="Times New Roman"/>
          <w:color w:val="000000" w:themeColor="text1"/>
          <w:sz w:val="28"/>
          <w:szCs w:val="28"/>
        </w:rPr>
        <w:t>черскую службу</w:t>
      </w:r>
      <w:r w:rsidR="008F5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ЕДДС)</w:t>
      </w:r>
      <w:r w:rsidR="008F54AB" w:rsidRPr="008F5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4AB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8F54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F54AB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D003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0347" w:rsidRPr="00D00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городского и сельских поселений.</w:t>
      </w:r>
    </w:p>
    <w:p w:rsidR="004E6625" w:rsidRPr="00445537" w:rsidRDefault="008F54AB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возникновения аварий и технологических нарушений на объектах жизнеобеспечения Михайловского муниципального района </w:t>
      </w:r>
      <w:r w:rsidR="00346B76">
        <w:rPr>
          <w:rFonts w:ascii="Times New Roman" w:hAnsi="Times New Roman" w:cs="Times New Roman"/>
          <w:color w:val="000000" w:themeColor="text1"/>
          <w:sz w:val="28"/>
          <w:szCs w:val="28"/>
        </w:rPr>
        <w:t>ЕДДС в течение 30 минут оценивает ситуацию, ставит в известность о случившемся главу района, заместителя главы администрации района, сообщает ответственным за эксплуатацию объекта, где произошла авария;</w:t>
      </w:r>
    </w:p>
    <w:p w:rsidR="004E6625" w:rsidRPr="00445537" w:rsidRDefault="00346B76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ответственное за эксплуатацию объекта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энергоснабжающих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в течении 1 часа оповещает о месте аварии представителя коммунальных и других предприятий, имеющих отношение к месту аварии, для согласов</w:t>
      </w:r>
      <w:r w:rsidR="00205DEE">
        <w:rPr>
          <w:rFonts w:ascii="Times New Roman" w:hAnsi="Times New Roman" w:cs="Times New Roman"/>
          <w:color w:val="000000" w:themeColor="text1"/>
          <w:sz w:val="28"/>
          <w:szCs w:val="28"/>
        </w:rPr>
        <w:t>ания работ по устранению аварий.</w:t>
      </w:r>
    </w:p>
    <w:p w:rsidR="004E6625" w:rsidRPr="00445537" w:rsidRDefault="00205DE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донесений может производиться 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, телеграф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радиоканалам связи с использованием различных систем передачи информации (модемной, телекодовой, факсимильной и т.п.).</w:t>
      </w:r>
    </w:p>
    <w:p w:rsidR="004E6625" w:rsidRPr="00445537" w:rsidRDefault="00205DE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 донесении должны содержаться следующие сведения: полное наименование и техническая характеристика объекта, наименование эксплуатационной организации, место расположения объекта (почтовый или строительный адрес), дата и время аварии, характер и объем разрушений, сведения о пострадавших и погибших, обстоятельства при которых произошла авария, сведения о назначении местной комиссии и вероятной причине аварии.</w:t>
      </w:r>
    </w:p>
    <w:p w:rsidR="004E6625" w:rsidRPr="00445537" w:rsidRDefault="00205DE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предприятия жизнеобеспечения должна содержать следующие сведения: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населенного пункта, наименование и адрес объекта аварии;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причин и характера аварии;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 прекращения подачи энергоресурсов по потребителям;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объектов, подлежащих отключению от энергоресурсов, и объектов, которым прекращена подача энергоресурсов;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объем повреждений и разрушений, состояние коммуникаций, вышедших из строя, в том числе по видам: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28"/>
        <w:gridCol w:w="4961"/>
      </w:tblGrid>
      <w:tr w:rsidR="004E6625" w:rsidRPr="003B1A7C" w:rsidTr="003B1A7C">
        <w:trPr>
          <w:trHeight w:val="240"/>
        </w:trPr>
        <w:tc>
          <w:tcPr>
            <w:tcW w:w="4728" w:type="dxa"/>
          </w:tcPr>
          <w:p w:rsidR="004E6625" w:rsidRPr="003B1A7C" w:rsidRDefault="004E6625" w:rsidP="003B1A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1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коммуникаций, энергосистем</w:t>
            </w:r>
          </w:p>
        </w:tc>
        <w:tc>
          <w:tcPr>
            <w:tcW w:w="4961" w:type="dxa"/>
          </w:tcPr>
          <w:p w:rsidR="004E6625" w:rsidRPr="003B1A7C" w:rsidRDefault="004E6625" w:rsidP="003B1A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1A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Показатели параметров состояния</w:t>
            </w:r>
          </w:p>
        </w:tc>
      </w:tr>
      <w:tr w:rsidR="004E6625" w:rsidRPr="00445537" w:rsidTr="003B1A7C">
        <w:trPr>
          <w:trHeight w:val="240"/>
        </w:trPr>
        <w:tc>
          <w:tcPr>
            <w:tcW w:w="4728" w:type="dxa"/>
            <w:tcBorders>
              <w:top w:val="nil"/>
            </w:tcBorders>
          </w:tcPr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ЛЭП (распределительные сети)</w:t>
            </w:r>
          </w:p>
        </w:tc>
        <w:tc>
          <w:tcPr>
            <w:tcW w:w="4961" w:type="dxa"/>
            <w:tcBorders>
              <w:top w:val="nil"/>
            </w:tcBorders>
          </w:tcPr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Мощность (</w:t>
            </w:r>
            <w:proofErr w:type="spellStart"/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протяженность (км), </w:t>
            </w:r>
          </w:p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 опор (шт.), кол-во          </w:t>
            </w:r>
          </w:p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трансформаторных подстанций (шт.)  </w:t>
            </w:r>
          </w:p>
        </w:tc>
      </w:tr>
      <w:tr w:rsidR="004E6625" w:rsidRPr="00445537" w:rsidTr="003B1A7C">
        <w:trPr>
          <w:trHeight w:val="240"/>
        </w:trPr>
        <w:tc>
          <w:tcPr>
            <w:tcW w:w="4728" w:type="dxa"/>
            <w:tcBorders>
              <w:top w:val="nil"/>
            </w:tcBorders>
          </w:tcPr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Линии связи                 </w:t>
            </w:r>
          </w:p>
        </w:tc>
        <w:tc>
          <w:tcPr>
            <w:tcW w:w="4961" w:type="dxa"/>
            <w:tcBorders>
              <w:top w:val="nil"/>
            </w:tcBorders>
          </w:tcPr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Протяженность (км), характеристика </w:t>
            </w:r>
          </w:p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линий связи                        </w:t>
            </w:r>
          </w:p>
        </w:tc>
      </w:tr>
      <w:tr w:rsidR="004E6625" w:rsidRPr="00445537" w:rsidTr="003B1A7C">
        <w:trPr>
          <w:trHeight w:val="240"/>
        </w:trPr>
        <w:tc>
          <w:tcPr>
            <w:tcW w:w="4728" w:type="dxa"/>
            <w:tcBorders>
              <w:top w:val="nil"/>
            </w:tcBorders>
          </w:tcPr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Системы водоснабжения и     </w:t>
            </w:r>
          </w:p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канализации                 </w:t>
            </w:r>
          </w:p>
        </w:tc>
        <w:tc>
          <w:tcPr>
            <w:tcW w:w="4961" w:type="dxa"/>
            <w:tcBorders>
              <w:top w:val="nil"/>
            </w:tcBorders>
          </w:tcPr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Протяженность (км), тип, диаметр   </w:t>
            </w:r>
          </w:p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труб (км), давление, для           </w:t>
            </w:r>
          </w:p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оборудования - мощность, тип и     </w:t>
            </w:r>
          </w:p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                             </w:t>
            </w:r>
          </w:p>
        </w:tc>
      </w:tr>
      <w:tr w:rsidR="004E6625" w:rsidRPr="00445537" w:rsidTr="003B1A7C">
        <w:trPr>
          <w:trHeight w:val="240"/>
        </w:trPr>
        <w:tc>
          <w:tcPr>
            <w:tcW w:w="4728" w:type="dxa"/>
            <w:tcBorders>
              <w:top w:val="nil"/>
            </w:tcBorders>
          </w:tcPr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Системы теплоснабжения      </w:t>
            </w:r>
          </w:p>
        </w:tc>
        <w:tc>
          <w:tcPr>
            <w:tcW w:w="4961" w:type="dxa"/>
            <w:tcBorders>
              <w:top w:val="nil"/>
            </w:tcBorders>
          </w:tcPr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Протяженность (км), тип, диаметр   </w:t>
            </w:r>
          </w:p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труб (км), давление, для           </w:t>
            </w:r>
          </w:p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оборудования - мощность, тип и     </w:t>
            </w:r>
          </w:p>
          <w:p w:rsidR="004E6625" w:rsidRPr="00445537" w:rsidRDefault="004E6625" w:rsidP="004E21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5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кол-во                             </w:t>
            </w:r>
          </w:p>
        </w:tc>
      </w:tr>
    </w:tbl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начала работ по ликвидации аварии, количество аварийных бригад и их численность, ответственное лицо предприятия жизнеобеспечения, за организацию и ход работы на объекте аварии, контактный телефон;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планируемое время прекращения работ.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(организации) жизнеобеспечения на территории Михайловского муниципального района должны иметь аварийно-диспетчерскую службу (АДС).</w:t>
      </w:r>
    </w:p>
    <w:p w:rsidR="004E6625" w:rsidRPr="00445537" w:rsidRDefault="00205DE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диспетчерского управления при ликвидации технологических нарушений являются: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предотвращение развития нарушений, предупреждение травм персонала и повреждения оборудования, не затронутого технологическим нарушением;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наиболее надежных послеаварийной схемы и режима работы системы в целом и ее частей;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- выяснение состояния отключившегося и отключенного оборудования и, при возможности, включение его в работу;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включение оборудования в работу и восстановление схемы сети, 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работоспособности оборудования.</w:t>
      </w:r>
    </w:p>
    <w:p w:rsidR="004E6625" w:rsidRPr="00445537" w:rsidRDefault="00205DE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диспетчерском пункте, щите управления организации должна находиться: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(порядок) по предотвращению и ликвидации технологических нарушений и аварий, которая составляется в соответствии с типовой инструкцией;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планы ликвидации технологических нарушений и аварий (в сетях, топливном хозяйстве и котельных и т.п.).</w:t>
      </w:r>
    </w:p>
    <w:p w:rsidR="004E6625" w:rsidRPr="00445537" w:rsidRDefault="00205DE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Аварийно-диспетчерскими службами предприятий (организаций) жизнеобеспечения согласовываются документы, определяющие их взаимодействие при ликвидации технологических нарушений в смежных предприятиях жизнеобеспечения и органах местного самоуправления городского и сельских поселений Михайловского муниципального района.</w:t>
      </w:r>
    </w:p>
    <w:p w:rsidR="004E6625" w:rsidRPr="00445537" w:rsidRDefault="00205DE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возникновения аварий и технологических нарушений на объектах жизнеобеспечения Михайловского муниципального района АДС предприятия жизнеобеспечения должны руководствоваться утвержденным на предприятии "Порядком ликвидации аварий и технологических нарушений на объектах жизнеобеспечения", составленным в соответствии с действующими правилами.</w:t>
      </w:r>
    </w:p>
    <w:p w:rsidR="004E6625" w:rsidRPr="00445537" w:rsidRDefault="00205DE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АДС предприятия жизнеобеспечения фиксирует время завершения работ по ликвидации аварий и возобновления подачи энергоснабжения потребителей и направляет соответствующую информацию в органы местного самоуправления Михайловского муниципального района и городского и сельских поселений.</w:t>
      </w:r>
    </w:p>
    <w:p w:rsidR="004E6625" w:rsidRPr="00445537" w:rsidRDefault="00205DE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Предприятие жизнеобеспечения при организации работ и ликвидации аварии и технологических нарушений взаимодействует со смежными предприятиями жизнеобеспечения и органами местного самоуправления в соответствии с действующими нормами и правилами. При этом предприятие (организация) жизнеобеспечения, на сетях (системах) которого произошла авария, разрабатывает и осуществляет необходимые мероприятия по устранению причин, препятствующих нормальному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энергоснабжению (водоснабжения), с указанием сроков.</w:t>
      </w:r>
    </w:p>
    <w:p w:rsidR="004E6625" w:rsidRPr="00445537" w:rsidRDefault="008518A4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смежные предприятия жизнеобеспечения и органы местного самоуправления городского и сельских поселений Михайловского муниципального района должны принять меры к безаварийному прекращению технологического процесса, меры по обеспечению безопасности людей, по охране окружающей среды и сохранности оборудования в связи с прекращением подачи энергоресурсов.</w:t>
      </w:r>
    </w:p>
    <w:p w:rsidR="004E6625" w:rsidRPr="00445537" w:rsidRDefault="008518A4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595C2D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жизнеобеспечения организовывает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временное обеспечение энергоресурсов потребителям из резервных источников, для снижения негативных последствий аварии и ущерба.</w:t>
      </w:r>
    </w:p>
    <w:p w:rsidR="004E6625" w:rsidRPr="00445537" w:rsidRDefault="00F655E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время ликвидации аварии и технологических нарушений предприятие (организация) жизнеобеспечения по согласованию с органами местного самоуправления городского и сельских поселений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</w:t>
      </w:r>
      <w:r w:rsidR="0041015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="0041015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Федеральной службы по надзору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сфере защиты прав потребителей и благополучия человека по Приморскому краю в г. Уссурийске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подачу энергоресурсов в отдельные районы населенного пункта по графикам с обязательным оповещением потребителей о режимах их обеспечения (отпуска).</w:t>
      </w:r>
    </w:p>
    <w:p w:rsidR="004E6625" w:rsidRPr="00445537" w:rsidRDefault="00642EB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 городского и сельских поселений Михайловского муниципального района ведут контроль за ходом работ по ликвидации аварий и взаимодействием предприятий жизнеобеспечения в целях ликвидации негативных последствий аварий.</w:t>
      </w:r>
    </w:p>
    <w:p w:rsidR="004E6625" w:rsidRPr="00445537" w:rsidRDefault="00642EBE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 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местного самоуправления городского и сельских поселений Михайловского муниципального района обязаны каждые четыре часа, с момента возникновения аварии, предоставлять информацию в администрацию Михайловского муниципального района о проводимых мероприятиях и ходе выполнения работ по ликвидации аварий согласно схеме взаимодействия (приложение </w:t>
      </w:r>
      <w:r w:rsidR="00F0047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E6625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2).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ликвидации аварии </w:t>
      </w:r>
      <w:proofErr w:type="spellStart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комиссионно</w:t>
      </w:r>
      <w:proofErr w:type="spellEnd"/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акт приемки выполненных работ и не позднее 4 час. с момен</w:t>
      </w:r>
      <w:r w:rsidR="004819DD"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>та ликвидации представляется в управление</w:t>
      </w: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жизнеобеспечения администрации Михайловского муниципального района.</w:t>
      </w:r>
    </w:p>
    <w:p w:rsidR="004E6625" w:rsidRPr="00445537" w:rsidRDefault="004E6625" w:rsidP="004E21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A7C" w:rsidRDefault="003B1A7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B1A7C" w:rsidRPr="00E91581" w:rsidRDefault="003B1A7C" w:rsidP="003B1A7C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B1A7C" w:rsidRPr="00E91581" w:rsidRDefault="003B1A7C" w:rsidP="003B1A7C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B1A7C" w:rsidRPr="00E91581" w:rsidRDefault="003B1A7C" w:rsidP="003B1A7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1581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581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58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F7D8E" w:rsidRPr="001F7D8E" w:rsidRDefault="001F7D8E" w:rsidP="001F7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158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11.02.2016</w:t>
      </w:r>
      <w:r w:rsidRPr="00E9158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70-па</w:t>
      </w:r>
    </w:p>
    <w:p w:rsidR="004819DD" w:rsidRPr="00445537" w:rsidRDefault="004819DD" w:rsidP="004E21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4819DD" w:rsidRPr="00445537" w:rsidRDefault="004819DD" w:rsidP="004E21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3BCC" w:rsidRPr="00445537" w:rsidRDefault="00C23BCC" w:rsidP="003B1A7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порядок</w:t>
      </w:r>
    </w:p>
    <w:p w:rsidR="00C23BCC" w:rsidRPr="00445537" w:rsidRDefault="00C23BCC" w:rsidP="004E21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действий органов исполнительной власти, организаций и служб</w:t>
      </w:r>
    </w:p>
    <w:p w:rsidR="00C23BCC" w:rsidRPr="00445537" w:rsidRDefault="00C23BCC" w:rsidP="004E21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возникновении аварийных ситуаций на объектах ЖКХ</w:t>
      </w:r>
    </w:p>
    <w:p w:rsidR="00C23BCC" w:rsidRPr="00445537" w:rsidRDefault="00C23BCC" w:rsidP="004E21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661"/>
        <w:gridCol w:w="2155"/>
        <w:gridCol w:w="2551"/>
        <w:gridCol w:w="1843"/>
      </w:tblGrid>
      <w:tr w:rsidR="00C23BCC" w:rsidRPr="00445537" w:rsidTr="008B6F47">
        <w:trPr>
          <w:tblHeader/>
        </w:trPr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Адресат</w:t>
            </w:r>
          </w:p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предоставления информации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23BCC" w:rsidRPr="00445537" w:rsidTr="008B6F47">
        <w:trPr>
          <w:tblHeader/>
        </w:trPr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1" w:type="dxa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5" w:type="dxa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C23BCC" w:rsidRPr="00445537" w:rsidTr="008B6F47">
        <w:tc>
          <w:tcPr>
            <w:tcW w:w="9796" w:type="dxa"/>
            <w:gridSpan w:val="5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 Технологическое нарушение (аварийная ситуация), устраняемое  обслуживающим персоналом в расчетные сроки</w:t>
            </w: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Дежурный предприяти</w:t>
            </w:r>
            <w:r w:rsidR="00F0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tabs>
                <w:tab w:val="left" w:pos="252"/>
              </w:tabs>
              <w:spacing w:after="0" w:line="24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и соответствующие службы предприятия ЖКХ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60" w:right="-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Ликвидация аварийной ситуации на объекте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Обслуживающий персонал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предприятия ЖКХ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60" w:right="-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Доклад о ликвидации аварийной ситуации и вводе объекта в рабочий режим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Дежурный предприятия ЖКХ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предприятия ЖКХ, руко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водитель органа местного самоуправле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ния поселения (муниципалитета)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60" w:right="-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8B6F47">
        <w:tc>
          <w:tcPr>
            <w:tcW w:w="9796" w:type="dxa"/>
            <w:gridSpan w:val="5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 Аварийная ситуация, сроки устранения которой больше допустимого расчетного времени</w:t>
            </w: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Оповещение и передача информации о возникновении аварийной ситуации на объекте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предприятия, организации ЖКХ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Дежурный предприятия ЖКХ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органа местного само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управления поселения (муниципалитета), руководитель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(диспетчерская служба) организации, определенной в соответст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вии с планом привлечения дополнитель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ных сил и средств, руководитель и члены оперативного штаба, муниципального района 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60" w:right="-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Прибытие к месту работы оперативного штаба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tabs>
                <w:tab w:val="left" w:pos="252"/>
              </w:tabs>
              <w:spacing w:after="0" w:line="24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Руководство предприятия ЖКХ, руководство привлеченных организаций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tabs>
                <w:tab w:val="left" w:pos="252"/>
              </w:tabs>
              <w:spacing w:after="0" w:line="24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и члены оперативного штаба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Дежурный  предприятия ЖКХ ведет учет прибытия оповещенных</w:t>
            </w: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Доработка, с учетом конкретной ситуа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ции, плана локализации и ликвидации ава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рийной ситуации, плана привлечения до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полнительных сил и средств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tabs>
                <w:tab w:val="left" w:pos="252"/>
              </w:tabs>
              <w:spacing w:after="0" w:line="24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и члены оперативного штаба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tabs>
                <w:tab w:val="left" w:pos="252"/>
              </w:tabs>
              <w:spacing w:after="0" w:line="24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Руководство предприятия ЖКХ, руководство привлеченных организаций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оперативного поста штаба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оперативного штаба, дежурная смена предприятия ЖКХ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tabs>
                <w:tab w:val="left" w:pos="252"/>
              </w:tabs>
              <w:spacing w:after="0" w:line="24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органа местного самоуп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равления поселения (муниципалитета), муниципального района 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Развертывание дополнительных сил и сре</w:t>
            </w:r>
            <w:proofErr w:type="gramStart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дств дл</w:t>
            </w:r>
            <w:proofErr w:type="gramEnd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ликвидации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аварийной ситуации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Руководитель оперативного штаба, руководители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ций, определенных планом привлечения дополнительных сил и средств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tabs>
                <w:tab w:val="left" w:pos="252"/>
              </w:tabs>
              <w:spacing w:after="0" w:line="24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Руководитель органа местного самоуп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равления поселения 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(муниципалитета), муниципального района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Оповещение населения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оперативного штаба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Дежурная смена (по док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ладам старших исполнителей аварийно-восстановитель</w:t>
            </w:r>
            <w:r w:rsidR="00F004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ных</w:t>
            </w:r>
            <w:proofErr w:type="spellEnd"/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 предприятия и привле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ченных организаций)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оперативного штаба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Ликвидация аварийной ситуации и ввод объекта в рабочий режим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оперативного штаба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Руководство предприятия ЖКХ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BCC" w:rsidRPr="00445537" w:rsidTr="008B6F47">
        <w:tc>
          <w:tcPr>
            <w:tcW w:w="586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61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Доклад о ликвидации аварийной ситуации и вводе объекта в рабочий режим</w:t>
            </w:r>
          </w:p>
        </w:tc>
        <w:tc>
          <w:tcPr>
            <w:tcW w:w="2155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50" w:right="-15" w:firstLine="6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оперативного штаба</w:t>
            </w:r>
          </w:p>
        </w:tc>
        <w:tc>
          <w:tcPr>
            <w:tcW w:w="2551" w:type="dxa"/>
            <w:vAlign w:val="center"/>
          </w:tcPr>
          <w:p w:rsidR="00C23BCC" w:rsidRPr="00445537" w:rsidRDefault="00C23BCC" w:rsidP="004E21D1">
            <w:pPr>
              <w:widowControl w:val="0"/>
              <w:tabs>
                <w:tab w:val="left" w:pos="252"/>
              </w:tabs>
              <w:spacing w:after="0" w:line="240" w:lineRule="auto"/>
              <w:ind w:right="-15" w:firstLine="1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органа местного самоуп</w:t>
            </w: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равления поселения (муниципалитета), муниципального района</w:t>
            </w:r>
          </w:p>
        </w:tc>
        <w:tc>
          <w:tcPr>
            <w:tcW w:w="1843" w:type="dxa"/>
            <w:vAlign w:val="center"/>
          </w:tcPr>
          <w:p w:rsidR="00C23BCC" w:rsidRPr="00445537" w:rsidRDefault="00C23BCC" w:rsidP="004E21D1">
            <w:pPr>
              <w:widowControl w:val="0"/>
              <w:spacing w:after="0" w:line="240" w:lineRule="auto"/>
              <w:ind w:left="-60" w:right="-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42EBE" w:rsidRDefault="00642EBE" w:rsidP="004E21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470" w:rsidRDefault="00F00470" w:rsidP="004E21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470" w:rsidRDefault="00F00470" w:rsidP="004E21D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A7C" w:rsidRDefault="003B1A7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B1A7C" w:rsidRPr="00E91581" w:rsidRDefault="003B1A7C" w:rsidP="003B1A7C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915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B1A7C" w:rsidRPr="00E91581" w:rsidRDefault="003B1A7C" w:rsidP="003B1A7C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B1A7C" w:rsidRPr="00E91581" w:rsidRDefault="003B1A7C" w:rsidP="003B1A7C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1581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581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58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F7D8E" w:rsidRPr="001F7D8E" w:rsidRDefault="001F7D8E" w:rsidP="001F7D8E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158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11.02.2016</w:t>
      </w:r>
      <w:r w:rsidRPr="00E9158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70-па</w:t>
      </w:r>
    </w:p>
    <w:p w:rsidR="004E6625" w:rsidRDefault="004E6625" w:rsidP="004E21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42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1A7C" w:rsidRDefault="00642EBE" w:rsidP="004E21D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РАСЧЕТЫ ДОПУСТИМОГО ВРЕМЕНИ УСТРАНЕНИЯ </w:t>
      </w:r>
    </w:p>
    <w:p w:rsidR="00642EBE" w:rsidRDefault="00642EBE" w:rsidP="004E21D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5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АВАРИЙНЫХ НАРУШЕНИЙ</w:t>
      </w:r>
    </w:p>
    <w:p w:rsidR="00642EBE" w:rsidRPr="00445537" w:rsidRDefault="00642EBE" w:rsidP="004E21D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7BD" w:rsidRDefault="000527BD" w:rsidP="004E21D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2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РАСЧЕТЫ ДОПУСТИМОГО ВРЕМЕНИ УСТРАНЕНИЯ АВАРИЙНЫХ НАРУШЕНИЙ ТЕПЛОСНАБЖЕНИЯ</w:t>
      </w:r>
    </w:p>
    <w:p w:rsidR="00F00470" w:rsidRPr="00642EBE" w:rsidRDefault="00F00470" w:rsidP="00F0047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27BD" w:rsidRDefault="000527BD" w:rsidP="00F00470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 °С. </w:t>
      </w:r>
    </w:p>
    <w:p w:rsidR="008B6F47" w:rsidRDefault="008B6F47" w:rsidP="00F00470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27BD" w:rsidRDefault="000527BD" w:rsidP="00AE2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1. Темп падения температуры в отапливаемых помещениях (°С/ч) при</w:t>
      </w:r>
      <w:r w:rsidR="00F00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 отключении подачи тепла</w:t>
      </w:r>
    </w:p>
    <w:p w:rsidR="008B6F47" w:rsidRPr="00445537" w:rsidRDefault="008B6F47" w:rsidP="008B6F47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914"/>
        <w:gridCol w:w="1914"/>
        <w:gridCol w:w="1914"/>
        <w:gridCol w:w="2152"/>
      </w:tblGrid>
      <w:tr w:rsidR="00445537" w:rsidRPr="00AE2FF9" w:rsidTr="000527BD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Коэффициент аккумуляции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Темп падения температуры, °С/ч при температуре наружного воздуха, °</w:t>
            </w:r>
            <w:proofErr w:type="gram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45537" w:rsidRPr="00AE2FF9" w:rsidTr="000527B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+/- 0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</w:t>
            </w:r>
          </w:p>
        </w:tc>
      </w:tr>
      <w:tr w:rsidR="00445537" w:rsidRPr="00AE2FF9" w:rsidTr="000527BD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2,4</w:t>
            </w:r>
          </w:p>
        </w:tc>
      </w:tr>
      <w:tr w:rsidR="00445537" w:rsidRPr="00AE2FF9" w:rsidTr="000527BD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</w:tr>
      <w:tr w:rsidR="00445537" w:rsidRPr="00AE2FF9" w:rsidTr="000527BD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</w:tbl>
    <w:p w:rsidR="000527BD" w:rsidRPr="00445537" w:rsidRDefault="000527BD" w:rsidP="00F00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527BD" w:rsidRDefault="000527BD" w:rsidP="00F00470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</w:t>
      </w:r>
    </w:p>
    <w:p w:rsidR="008B6F47" w:rsidRPr="00445537" w:rsidRDefault="008B6F47" w:rsidP="00F00470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27BD" w:rsidRPr="00445537" w:rsidRDefault="000527BD" w:rsidP="00AE2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№ 2. Коэффициенты аккумуляции тепла </w:t>
      </w:r>
      <w:r w:rsidR="00F004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жилых и промышленных зданий</w:t>
      </w:r>
    </w:p>
    <w:tbl>
      <w:tblPr>
        <w:tblpPr w:leftFromText="180" w:rightFromText="180" w:vertAnchor="text" w:horzAnchor="margin" w:tblpXSpec="right" w:tblpY="14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034"/>
        <w:gridCol w:w="2528"/>
        <w:gridCol w:w="1510"/>
      </w:tblGrid>
      <w:tr w:rsidR="000527BD" w:rsidRPr="00AE2FF9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BD" w:rsidRPr="00AE2FF9" w:rsidRDefault="000527BD" w:rsidP="004E21D1">
            <w:pPr>
              <w:spacing w:after="0" w:line="240" w:lineRule="auto"/>
              <w:ind w:left="-235"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зданий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68572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</w:t>
            </w:r>
            <w:r w:rsidR="00685728"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циент</w:t>
            </w:r>
            <w:proofErr w:type="spellEnd"/>
            <w:proofErr w:type="gramEnd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аккумуля</w:t>
            </w:r>
            <w:r w:rsidR="00685728"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</w:t>
            </w:r>
            <w:proofErr w:type="spellEnd"/>
          </w:p>
        </w:tc>
      </w:tr>
      <w:tr w:rsidR="000527BD" w:rsidRPr="00AE2FF9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AE2FF9" w:rsidRDefault="000527BD" w:rsidP="004E21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Крупнопанельный  дом серии 1-605А с          3- </w:t>
            </w:r>
            <w:proofErr w:type="spell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слойными</w:t>
            </w:r>
            <w:proofErr w:type="spellEnd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наружными       стенами, утепленными </w:t>
            </w:r>
            <w:proofErr w:type="spell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минераловатными</w:t>
            </w:r>
            <w:proofErr w:type="spellEnd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плитами с железобетонными фактурными слоями: толщины 21 см, из них толщина утеплителя   12 см.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Угловые:</w:t>
            </w:r>
          </w:p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верхнего этажа,</w:t>
            </w:r>
          </w:p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среднего и первого этажа.</w:t>
            </w:r>
          </w:p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Средние.</w:t>
            </w:r>
          </w:p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</w:tr>
      <w:tr w:rsidR="000527BD" w:rsidRPr="00AE2FF9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AE2FF9" w:rsidRDefault="000527BD" w:rsidP="004E21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Крупнопанельный  жилой дом с наружными стенами толщиной 16 см, утепленными </w:t>
            </w:r>
            <w:proofErr w:type="spell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минераловатными</w:t>
            </w:r>
            <w:proofErr w:type="spellEnd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плитами с железобетонными фактурными слоями.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Угловые:</w:t>
            </w:r>
          </w:p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верхнего этажа,</w:t>
            </w:r>
          </w:p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среднего и первого этажа.</w:t>
            </w:r>
          </w:p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Средние.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51</w:t>
            </w:r>
          </w:p>
        </w:tc>
      </w:tr>
      <w:tr w:rsidR="000527BD" w:rsidRPr="00AE2FF9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AE2FF9" w:rsidRDefault="000527BD" w:rsidP="004E21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Дом из объемных элементов с наружными ограждениями  из железобетонных вибропрокатных элементов, утепленных </w:t>
            </w:r>
            <w:proofErr w:type="spell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минераловатными</w:t>
            </w:r>
            <w:proofErr w:type="spellEnd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плитами. Толщина наружной стены 22 см,  толщина утеплителя  в зоне стыкования  с  ребрами 5 см,  между ребрами  7 см.  Общая  толщина железобетонных элементов между ребрами  30 - 40 мм.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Угловые</w:t>
            </w:r>
            <w:proofErr w:type="gramEnd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верхнего этажа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0527BD" w:rsidRPr="00AE2FF9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AE2FF9" w:rsidRDefault="000527BD" w:rsidP="004E21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Кирпичные  жилые здания  с толщиной стен в 2,5 кирпича и коэффициентом остекления 0,18-0,25.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Угловые.</w:t>
            </w:r>
          </w:p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Средние.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65-60</w:t>
            </w:r>
          </w:p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100-65</w:t>
            </w:r>
          </w:p>
        </w:tc>
      </w:tr>
      <w:tr w:rsidR="000527BD" w:rsidRPr="00AE2FF9" w:rsidTr="000527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AE2FF9" w:rsidRDefault="000527BD" w:rsidP="004E21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Промышленные здания  с  незначительными внутренними тепловыделениями (стены в 2 кирпича коэффициент  остекления 0,15 - 0,3).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BD" w:rsidRPr="00AE2FF9" w:rsidRDefault="000527BD" w:rsidP="004E21D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25-14</w:t>
            </w:r>
          </w:p>
        </w:tc>
      </w:tr>
    </w:tbl>
    <w:p w:rsidR="00411DB3" w:rsidRPr="00445537" w:rsidRDefault="00411DB3" w:rsidP="004E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1DB3" w:rsidRDefault="000527BD" w:rsidP="004E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-20°С, то по таблице № 1 определяется темп падения температуры, равный 1,1°С в час. Время снижения температуры в квартире с 18 до  8</w:t>
      </w:r>
      <w:proofErr w:type="gramStart"/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°С</w:t>
      </w:r>
      <w:proofErr w:type="gramEnd"/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которой в подвалах и на лестничных клетках может произойти замерзание теплоносителя и труб, определится как (18 - 8) / 1,1 и составит 9 часов.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 w:rsidR="008B6F47" w:rsidRPr="00445537" w:rsidRDefault="008B6F47" w:rsidP="004E2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27BD" w:rsidRDefault="000527BD" w:rsidP="00AE2F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3.  Предельные сроки ликвидации поврежд</w:t>
      </w:r>
      <w:r w:rsidR="00812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ений на объектах теплоснабжения</w:t>
      </w:r>
    </w:p>
    <w:p w:rsidR="008B6F47" w:rsidRPr="00445537" w:rsidRDefault="008B6F47" w:rsidP="008B6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3395"/>
        <w:gridCol w:w="1547"/>
        <w:gridCol w:w="904"/>
        <w:gridCol w:w="912"/>
        <w:gridCol w:w="855"/>
        <w:gridCol w:w="1140"/>
      </w:tblGrid>
      <w:tr w:rsidR="000527BD" w:rsidRPr="00AE2FF9" w:rsidTr="000527BD">
        <w:trPr>
          <w:trHeight w:val="12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</w:p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Наименование    </w:t>
            </w:r>
          </w:p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технологического  </w:t>
            </w:r>
          </w:p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нарушения      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Время    </w:t>
            </w:r>
          </w:p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на     </w:t>
            </w:r>
          </w:p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устранение,</w:t>
            </w:r>
          </w:p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час.  </w:t>
            </w:r>
          </w:p>
        </w:tc>
        <w:tc>
          <w:tcPr>
            <w:tcW w:w="3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Ожидаемая температура в </w:t>
            </w:r>
            <w:proofErr w:type="gram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жилых</w:t>
            </w:r>
            <w:proofErr w:type="gramEnd"/>
          </w:p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помещениях</w:t>
            </w:r>
            <w:proofErr w:type="gramEnd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при температуре   </w:t>
            </w:r>
          </w:p>
          <w:p w:rsidR="000527BD" w:rsidRPr="00AE2FF9" w:rsidRDefault="000527BD" w:rsidP="00AE2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наружного  воздуха, </w:t>
            </w:r>
            <w:proofErr w:type="gramStart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0527BD" w:rsidRPr="00AE2FF9" w:rsidTr="000527BD">
        <w:trPr>
          <w:trHeight w:val="40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AE2FF9" w:rsidRDefault="000527BD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- 10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Более</w:t>
            </w:r>
          </w:p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- 20</w:t>
            </w:r>
          </w:p>
        </w:tc>
      </w:tr>
      <w:tr w:rsidR="000527BD" w:rsidRPr="00AE2FF9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Отключение отопления.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0527BD" w:rsidRPr="00AE2FF9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Отключение отопления.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0527BD" w:rsidRPr="00AE2FF9" w:rsidTr="000527BD"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Отключение отопления.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0527BD" w:rsidRPr="00AE2FF9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Отключение отопления.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AE2FF9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2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8B6F47" w:rsidRPr="00445537" w:rsidRDefault="000527BD" w:rsidP="00AE2F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№ 4. Предельные сроки ликвидации повреждений на надземн</w:t>
      </w:r>
      <w:r w:rsidR="008B6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трубопроводах тепловых сетей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6245"/>
        <w:gridCol w:w="2700"/>
      </w:tblGrid>
      <w:tr w:rsidR="000527BD" w:rsidRPr="003B1A7C" w:rsidTr="000527BD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7BD" w:rsidRPr="003B1A7C" w:rsidRDefault="000527BD" w:rsidP="003B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527BD" w:rsidRPr="003B1A7C" w:rsidRDefault="000527BD" w:rsidP="003B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1A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0527BD" w:rsidRPr="003B1A7C" w:rsidRDefault="000527BD" w:rsidP="003B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B1A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3B1A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7BD" w:rsidRPr="003B1A7C" w:rsidRDefault="000527BD" w:rsidP="003B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1A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3B1A7C" w:rsidRDefault="000527BD" w:rsidP="003B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1A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Время </w:t>
            </w:r>
            <w:proofErr w:type="gramStart"/>
            <w:r w:rsidRPr="003B1A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</w:t>
            </w:r>
            <w:proofErr w:type="gramEnd"/>
          </w:p>
          <w:p w:rsidR="000527BD" w:rsidRPr="003B1A7C" w:rsidRDefault="000527BD" w:rsidP="003B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1A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устранение,</w:t>
            </w:r>
          </w:p>
          <w:p w:rsidR="000527BD" w:rsidRPr="003B1A7C" w:rsidRDefault="000527BD" w:rsidP="003B1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B1A7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час.</w:t>
            </w:r>
          </w:p>
        </w:tc>
      </w:tr>
      <w:tr w:rsidR="000527BD" w:rsidRPr="00445537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1. </w:t>
            </w:r>
          </w:p>
        </w:tc>
        <w:tc>
          <w:tcPr>
            <w:tcW w:w="6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Обнаружение утечек или других неисправностей.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0527BD" w:rsidRPr="00445537" w:rsidTr="000527BD"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2.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Отключение системы или отдельных участков.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0527BD" w:rsidRPr="00445537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3. </w:t>
            </w:r>
          </w:p>
        </w:tc>
        <w:tc>
          <w:tcPr>
            <w:tcW w:w="6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Слив воды из системы.                       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0527BD" w:rsidRPr="00445537" w:rsidTr="000527B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4. </w:t>
            </w:r>
          </w:p>
        </w:tc>
        <w:tc>
          <w:tcPr>
            <w:tcW w:w="6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Устранение утечек или других неисправностей. 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27BD" w:rsidRPr="00445537" w:rsidRDefault="000527BD" w:rsidP="004E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</w:tr>
    </w:tbl>
    <w:p w:rsidR="000527BD" w:rsidRPr="00445537" w:rsidRDefault="000527BD" w:rsidP="004E21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225F" w:rsidRPr="008B6F47" w:rsidRDefault="009D225F" w:rsidP="0042649F">
      <w:pPr>
        <w:pStyle w:val="a3"/>
        <w:numPr>
          <w:ilvl w:val="0"/>
          <w:numId w:val="2"/>
        </w:num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РАСЧЕТЫ ДОПУСТИМОГО ВРЕМЕНИ УСТРАНЕНИЯ АВАРИЙНЫХ НАРУШЕНИЙ ВОДОСНАБЖЕНИЯ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"/>
        <w:gridCol w:w="5444"/>
        <w:gridCol w:w="3792"/>
      </w:tblGrid>
      <w:tr w:rsidR="00445537" w:rsidRPr="00445537" w:rsidTr="009D225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на устранение, час. мин.</w:t>
            </w:r>
          </w:p>
        </w:tc>
      </w:tr>
      <w:tr w:rsidR="00445537" w:rsidRPr="00445537" w:rsidTr="009D22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25F" w:rsidRPr="00445537" w:rsidRDefault="009D225F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25F" w:rsidRPr="00445537" w:rsidRDefault="009D225F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Отключение ГХВС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D225F" w:rsidRPr="00445537" w:rsidRDefault="009D225F" w:rsidP="004E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часа</w:t>
            </w:r>
          </w:p>
        </w:tc>
      </w:tr>
    </w:tbl>
    <w:p w:rsidR="009D225F" w:rsidRPr="00642EBE" w:rsidRDefault="009D225F" w:rsidP="004E21D1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D225F" w:rsidRPr="008B6F47" w:rsidRDefault="009D225F" w:rsidP="000841FD">
      <w:pPr>
        <w:pStyle w:val="a3"/>
        <w:numPr>
          <w:ilvl w:val="0"/>
          <w:numId w:val="2"/>
        </w:num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РАСЧЕТЫ ДОПУСТИМОГО ВРЕМЕНИ УСТРАНЕНИЯ АВАРИЙНЫХ НАРУШЕНИЙ ЭЛЕКТРОСНАБЖЕНИЯ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"/>
        <w:gridCol w:w="5445"/>
        <w:gridCol w:w="3791"/>
      </w:tblGrid>
      <w:tr w:rsidR="00445537" w:rsidRPr="00445537" w:rsidTr="009D225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технологического нарушения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D225F" w:rsidRPr="00445537" w:rsidRDefault="009D225F" w:rsidP="004E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на устранение, час. мин.</w:t>
            </w:r>
          </w:p>
        </w:tc>
      </w:tr>
      <w:tr w:rsidR="00445537" w:rsidRPr="00445537" w:rsidTr="009D225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25F" w:rsidRPr="00445537" w:rsidRDefault="009D225F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25F" w:rsidRPr="00445537" w:rsidRDefault="009D225F" w:rsidP="004E2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Отключение электроснабжения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9D225F" w:rsidRPr="00445537" w:rsidRDefault="009D225F" w:rsidP="004E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5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часа</w:t>
            </w:r>
          </w:p>
        </w:tc>
      </w:tr>
    </w:tbl>
    <w:p w:rsidR="009D225F" w:rsidRPr="00445537" w:rsidRDefault="009D225F" w:rsidP="008B6F4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D225F" w:rsidRPr="00445537" w:rsidSect="003B1A7C">
      <w:pgSz w:w="11906" w:h="16838"/>
      <w:pgMar w:top="1134" w:right="851" w:bottom="1134" w:left="1418" w:header="34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5E" w:rsidRDefault="00944D5E" w:rsidP="00B3613A">
      <w:pPr>
        <w:spacing w:after="0" w:line="240" w:lineRule="auto"/>
      </w:pPr>
      <w:r>
        <w:separator/>
      </w:r>
    </w:p>
  </w:endnote>
  <w:endnote w:type="continuationSeparator" w:id="0">
    <w:p w:rsidR="00944D5E" w:rsidRDefault="00944D5E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5E" w:rsidRDefault="00944D5E" w:rsidP="00B3613A">
      <w:pPr>
        <w:spacing w:after="0" w:line="240" w:lineRule="auto"/>
      </w:pPr>
      <w:r>
        <w:separator/>
      </w:r>
    </w:p>
  </w:footnote>
  <w:footnote w:type="continuationSeparator" w:id="0">
    <w:p w:rsidR="00944D5E" w:rsidRDefault="00944D5E" w:rsidP="00B3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4542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6C15" w:rsidRPr="003B1A7C" w:rsidRDefault="00386C1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1A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1A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1A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64E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B1A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25"/>
    <w:rsid w:val="000039BF"/>
    <w:rsid w:val="000527BD"/>
    <w:rsid w:val="001A44C9"/>
    <w:rsid w:val="001F7D8E"/>
    <w:rsid w:val="00205DEE"/>
    <w:rsid w:val="00236B71"/>
    <w:rsid w:val="002A2F5F"/>
    <w:rsid w:val="00302530"/>
    <w:rsid w:val="00346B76"/>
    <w:rsid w:val="00381A81"/>
    <w:rsid w:val="00386C15"/>
    <w:rsid w:val="003B1A7C"/>
    <w:rsid w:val="00404773"/>
    <w:rsid w:val="0041015A"/>
    <w:rsid w:val="00411DB3"/>
    <w:rsid w:val="00424562"/>
    <w:rsid w:val="00445537"/>
    <w:rsid w:val="004819DD"/>
    <w:rsid w:val="00494E73"/>
    <w:rsid w:val="004E21D1"/>
    <w:rsid w:val="004E6625"/>
    <w:rsid w:val="00563C18"/>
    <w:rsid w:val="00595C2D"/>
    <w:rsid w:val="005A7261"/>
    <w:rsid w:val="005D64E7"/>
    <w:rsid w:val="00642EBE"/>
    <w:rsid w:val="00651665"/>
    <w:rsid w:val="00685728"/>
    <w:rsid w:val="00700CD7"/>
    <w:rsid w:val="007E3D8A"/>
    <w:rsid w:val="00812C27"/>
    <w:rsid w:val="008518A4"/>
    <w:rsid w:val="00865ABB"/>
    <w:rsid w:val="00887E5E"/>
    <w:rsid w:val="008B6F47"/>
    <w:rsid w:val="008F54AB"/>
    <w:rsid w:val="00935573"/>
    <w:rsid w:val="009449EF"/>
    <w:rsid w:val="00944D5E"/>
    <w:rsid w:val="009B7421"/>
    <w:rsid w:val="009D225F"/>
    <w:rsid w:val="009D7C8C"/>
    <w:rsid w:val="00AC1F56"/>
    <w:rsid w:val="00AE2FF9"/>
    <w:rsid w:val="00B036FD"/>
    <w:rsid w:val="00B3613A"/>
    <w:rsid w:val="00C23BCC"/>
    <w:rsid w:val="00C5100D"/>
    <w:rsid w:val="00CC3B8B"/>
    <w:rsid w:val="00CE703D"/>
    <w:rsid w:val="00D00347"/>
    <w:rsid w:val="00D14967"/>
    <w:rsid w:val="00D40822"/>
    <w:rsid w:val="00D7002D"/>
    <w:rsid w:val="00DE25A2"/>
    <w:rsid w:val="00E41113"/>
    <w:rsid w:val="00E602AB"/>
    <w:rsid w:val="00E91581"/>
    <w:rsid w:val="00EB4FB9"/>
    <w:rsid w:val="00EE4748"/>
    <w:rsid w:val="00F00470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6AE5909076FE40B8C03278CFE0D3648EDC048E5A7FD2D229A348A0E7p2cF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6AE5909076FE40B8C03278CFE0D3648ED7038E5E75D2D229A348A0E72F50E529F39CCC4FB35F7Ap0c4W" TargetMode="External"/><Relationship Id="rId17" Type="http://schemas.openxmlformats.org/officeDocument/2006/relationships/hyperlink" Target="consultantplus://offline/ref=7D6AE5909076FE40B8C03278CFE0D3648EDD018F5475D2D229A348A0E7p2cF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6AE5909076FE40B8C03278CFE0D3648BDF088D5D778FD821FA44A2E0200FF22EBA90CD4FB35Fp7cF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6AE5909076FE40B8C03278CFE0D3648ED7028E557DD2D229A348A0E7p2cFW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6AE5909076FE40B8C03278CFE0D3648ED8038E5978D2D229A348A0E72F50E529F39CCC4FB35E7Ep0cAW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D6AE5909076FE40B8C03278CFE0D3648BDE088A5E778FD821FA44A2E0200FF22EBA90CD4FB35Fp7c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DF095-D45A-4D33-AF20-CAFA7C73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16</Pages>
  <Words>4347</Words>
  <Characters>24779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NachZKH</dc:creator>
  <cp:keywords/>
  <dc:description/>
  <cp:lastModifiedBy>MorozovaNN</cp:lastModifiedBy>
  <cp:revision>24</cp:revision>
  <cp:lastPrinted>2016-02-11T02:11:00Z</cp:lastPrinted>
  <dcterms:created xsi:type="dcterms:W3CDTF">2016-01-20T22:28:00Z</dcterms:created>
  <dcterms:modified xsi:type="dcterms:W3CDTF">2016-02-11T03:29:00Z</dcterms:modified>
</cp:coreProperties>
</file>